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8362F" w:rsidRDefault="003A156F">
      <w:pPr>
        <w:widowControl w:val="0"/>
        <w:spacing w:line="374" w:lineRule="auto"/>
        <w:ind w:left="1007" w:right="992"/>
        <w:jc w:val="center"/>
        <w:rPr>
          <w:rFonts w:ascii="Muli" w:eastAsia="Muli" w:hAnsi="Muli" w:cs="Muli"/>
          <w:sz w:val="27"/>
          <w:szCs w:val="27"/>
        </w:rPr>
      </w:pPr>
      <w:r>
        <w:rPr>
          <w:rFonts w:ascii="Muli" w:eastAsia="Muli" w:hAnsi="Muli" w:cs="Muli"/>
          <w:sz w:val="27"/>
          <w:szCs w:val="27"/>
          <w:u w:val="single"/>
        </w:rPr>
        <w:t>SUPPORT FOR HELP CITIES LEAD FROM LOCAL GOVERNMENTS</w:t>
      </w:r>
      <w:r>
        <w:rPr>
          <w:rFonts w:ascii="Muli" w:eastAsia="Muli" w:hAnsi="Muli" w:cs="Muli"/>
          <w:sz w:val="27"/>
          <w:szCs w:val="27"/>
        </w:rPr>
        <w:t xml:space="preserve"> </w:t>
      </w:r>
    </w:p>
    <w:p w14:paraId="00000002" w14:textId="77777777" w:rsidR="0048362F" w:rsidRDefault="003A156F">
      <w:pPr>
        <w:widowControl w:val="0"/>
        <w:spacing w:line="374" w:lineRule="auto"/>
        <w:ind w:left="1007" w:right="992"/>
        <w:jc w:val="center"/>
        <w:rPr>
          <w:rFonts w:ascii="Muli" w:eastAsia="Muli" w:hAnsi="Muli" w:cs="Muli"/>
          <w:sz w:val="21"/>
          <w:szCs w:val="21"/>
        </w:rPr>
      </w:pPr>
      <w:r>
        <w:rPr>
          <w:rFonts w:ascii="Muli" w:eastAsia="Muli" w:hAnsi="Muli" w:cs="Muli"/>
          <w:sz w:val="27"/>
          <w:szCs w:val="27"/>
        </w:rPr>
        <w:t xml:space="preserve">Sample Resolution </w:t>
      </w:r>
    </w:p>
    <w:p w14:paraId="00000003" w14:textId="77777777" w:rsidR="0048362F" w:rsidRDefault="003A156F">
      <w:pPr>
        <w:widowControl w:val="0"/>
        <w:spacing w:before="278" w:line="245" w:lineRule="auto"/>
        <w:ind w:right="58"/>
        <w:rPr>
          <w:rFonts w:ascii="Muli" w:eastAsia="Muli" w:hAnsi="Muli" w:cs="Muli"/>
        </w:rPr>
      </w:pPr>
      <w:r>
        <w:rPr>
          <w:rFonts w:ascii="Muli" w:eastAsia="Muli" w:hAnsi="Muli" w:cs="Muli"/>
        </w:rPr>
        <w:t>WHEREAS emissions by buildings account for 40-60% of a community’s green-house gas (GHG) emissions;</w:t>
      </w:r>
    </w:p>
    <w:p w14:paraId="00000004" w14:textId="44B5A69A" w:rsidR="0048362F" w:rsidRDefault="003A156F">
      <w:pPr>
        <w:widowControl w:val="0"/>
        <w:spacing w:before="278" w:line="245" w:lineRule="auto"/>
        <w:ind w:right="58"/>
        <w:rPr>
          <w:rFonts w:ascii="Muli" w:eastAsia="Muli" w:hAnsi="Muli" w:cs="Muli"/>
        </w:rPr>
      </w:pPr>
      <w:r>
        <w:rPr>
          <w:rFonts w:ascii="Muli" w:eastAsia="Muli" w:hAnsi="Muli" w:cs="Muli"/>
        </w:rPr>
        <w:t>WHEREAS climate poli</w:t>
      </w:r>
      <w:bookmarkStart w:id="0" w:name="_GoBack"/>
      <w:bookmarkEnd w:id="0"/>
      <w:r>
        <w:rPr>
          <w:rFonts w:ascii="Muli" w:eastAsia="Muli" w:hAnsi="Muli" w:cs="Muli"/>
        </w:rPr>
        <w:t>cy modelling completed for Help Cities Lead shows current actions to reduce greenhouse gas (GHG)</w:t>
      </w:r>
      <w:r>
        <w:rPr>
          <w:rFonts w:ascii="Muli" w:eastAsia="Muli" w:hAnsi="Muli" w:cs="Muli"/>
        </w:rPr>
        <w:t xml:space="preserve"> emissions from buildings are insuffici</w:t>
      </w:r>
      <w:r>
        <w:rPr>
          <w:rFonts w:ascii="Muli" w:eastAsia="Muli" w:hAnsi="Muli" w:cs="Muli"/>
        </w:rPr>
        <w:t xml:space="preserve">ent to achieve the province's GHG targets for 2030 and 2050; </w:t>
      </w:r>
    </w:p>
    <w:p w14:paraId="00000005" w14:textId="77777777" w:rsidR="0048362F" w:rsidRDefault="003A156F">
      <w:pPr>
        <w:widowControl w:val="0"/>
        <w:spacing w:before="278" w:line="245" w:lineRule="auto"/>
        <w:ind w:left="27" w:right="28" w:hanging="1"/>
        <w:jc w:val="both"/>
        <w:rPr>
          <w:rFonts w:ascii="Muli" w:eastAsia="Muli" w:hAnsi="Muli" w:cs="Muli"/>
        </w:rPr>
      </w:pPr>
      <w:r>
        <w:rPr>
          <w:rFonts w:ascii="Muli" w:eastAsia="Muli" w:hAnsi="Muli" w:cs="Muli"/>
        </w:rPr>
        <w:t xml:space="preserve">WHEREAS the November 2020 mandate letters to ministers include direction to provincial ministries to move forward with three of the five policy measures included in the Help Cities Lead climate </w:t>
      </w:r>
      <w:r>
        <w:rPr>
          <w:rFonts w:ascii="Muli" w:eastAsia="Muli" w:hAnsi="Muli" w:cs="Muli"/>
        </w:rPr>
        <w:t>policy modelling: GHG requirements for new buildings, Property Assessed Clean Energy (PACE) financing, and home energy labelling.</w:t>
      </w:r>
    </w:p>
    <w:p w14:paraId="00000006" w14:textId="3C4F2E72" w:rsidR="0048362F" w:rsidRDefault="003A156F">
      <w:pPr>
        <w:widowControl w:val="0"/>
        <w:spacing w:before="278" w:line="245" w:lineRule="auto"/>
        <w:ind w:left="27" w:right="28" w:hanging="1"/>
        <w:jc w:val="both"/>
        <w:rPr>
          <w:rFonts w:ascii="Muli" w:eastAsia="Muli" w:hAnsi="Muli" w:cs="Muli"/>
        </w:rPr>
      </w:pPr>
      <w:r>
        <w:rPr>
          <w:rFonts w:ascii="Muli" w:eastAsia="Muli" w:hAnsi="Muli" w:cs="Muli"/>
        </w:rPr>
        <w:t>THEREFORE, BE IT RESOLVED THAT [your local government] write a letter to the Minist</w:t>
      </w:r>
      <w:r>
        <w:rPr>
          <w:rFonts w:ascii="Muli" w:eastAsia="Muli" w:hAnsi="Muli" w:cs="Muli"/>
        </w:rPr>
        <w:t>e</w:t>
      </w:r>
      <w:r>
        <w:rPr>
          <w:rFonts w:ascii="Muli" w:eastAsia="Muli" w:hAnsi="Muli" w:cs="Muli"/>
        </w:rPr>
        <w:t>r</w:t>
      </w:r>
      <w:r>
        <w:rPr>
          <w:rFonts w:ascii="Muli" w:eastAsia="Muli" w:hAnsi="Muli" w:cs="Muli"/>
        </w:rPr>
        <w:t xml:space="preserve"> of Environment and Climate Change Strat</w:t>
      </w:r>
      <w:r>
        <w:rPr>
          <w:rFonts w:ascii="Muli" w:eastAsia="Muli" w:hAnsi="Muli" w:cs="Muli"/>
        </w:rPr>
        <w:t>egy, the Minister of Energy, Mines and Low Carbon Innovation, the Minister of Municipal Affairs, the Attorney-General and Minister responsible for Housing</w:t>
      </w:r>
      <w:r>
        <w:rPr>
          <w:rFonts w:ascii="Muli" w:eastAsia="Muli" w:hAnsi="Muli" w:cs="Muli"/>
        </w:rPr>
        <w:t>,</w:t>
      </w:r>
      <w:r>
        <w:rPr>
          <w:rFonts w:ascii="Muli" w:eastAsia="Muli" w:hAnsi="Muli" w:cs="Muli"/>
        </w:rPr>
        <w:t xml:space="preserve"> and </w:t>
      </w:r>
      <w:r>
        <w:rPr>
          <w:rFonts w:ascii="Muli" w:eastAsia="Muli" w:hAnsi="Muli" w:cs="Muli"/>
        </w:rPr>
        <w:t xml:space="preserve">the Minister of Finance, </w:t>
      </w:r>
      <w:r>
        <w:rPr>
          <w:rFonts w:ascii="Muli" w:eastAsia="Muli" w:hAnsi="Muli" w:cs="Muli"/>
        </w:rPr>
        <w:t xml:space="preserve">expressing </w:t>
      </w:r>
      <w:r>
        <w:rPr>
          <w:rFonts w:ascii="Muli" w:eastAsia="Muli" w:hAnsi="Muli" w:cs="Muli"/>
        </w:rPr>
        <w:t xml:space="preserve">its endorsement of the </w:t>
      </w:r>
      <w:r>
        <w:rPr>
          <w:rFonts w:ascii="Muli" w:eastAsia="Muli" w:hAnsi="Muli" w:cs="Muli"/>
        </w:rPr>
        <w:t>H</w:t>
      </w:r>
      <w:r>
        <w:rPr>
          <w:rFonts w:ascii="Muli" w:eastAsia="Muli" w:hAnsi="Muli" w:cs="Muli"/>
        </w:rPr>
        <w:t xml:space="preserve">elp Cities Lead campaign; </w:t>
      </w:r>
      <w:r>
        <w:rPr>
          <w:rFonts w:ascii="Muli" w:eastAsia="Muli" w:hAnsi="Muli" w:cs="Muli"/>
        </w:rPr>
        <w:t xml:space="preserve">support for the directions set out in the November 2020 ministerial </w:t>
      </w:r>
      <w:r>
        <w:rPr>
          <w:rFonts w:ascii="Muli" w:eastAsia="Muli" w:hAnsi="Muli" w:cs="Muli"/>
        </w:rPr>
        <w:t>mandate letters regarding GHG requirements for new buildings, PACE financing, and home energy labelling</w:t>
      </w:r>
      <w:r>
        <w:rPr>
          <w:rFonts w:ascii="Muli" w:eastAsia="Muli" w:hAnsi="Muli" w:cs="Muli"/>
        </w:rPr>
        <w:t>;</w:t>
      </w:r>
      <w:r>
        <w:rPr>
          <w:rFonts w:ascii="Muli" w:eastAsia="Muli" w:hAnsi="Muli" w:cs="Muli"/>
        </w:rPr>
        <w:t xml:space="preserve"> and also requesting that the province empower local governments to o</w:t>
      </w:r>
      <w:r>
        <w:rPr>
          <w:rFonts w:ascii="Muli" w:eastAsia="Muli" w:hAnsi="Muli" w:cs="Muli"/>
        </w:rPr>
        <w:t xml:space="preserve">pt to take action, if they so choose, on the two remaining items of the Help Cities Lead’s campaign, namely GHG requirements for existing buildings and building energy benchmarking. </w:t>
      </w:r>
    </w:p>
    <w:p w14:paraId="00000007" w14:textId="77777777" w:rsidR="0048362F" w:rsidRDefault="0048362F">
      <w:pPr>
        <w:widowControl w:val="0"/>
        <w:spacing w:before="278" w:line="245" w:lineRule="auto"/>
        <w:ind w:left="27" w:right="28" w:hanging="1"/>
        <w:jc w:val="both"/>
        <w:rPr>
          <w:rFonts w:ascii="Muli" w:eastAsia="Muli" w:hAnsi="Muli" w:cs="Muli"/>
        </w:rPr>
      </w:pPr>
    </w:p>
    <w:sectPr w:rsidR="0048362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62F"/>
    <w:rsid w:val="003A156F"/>
    <w:rsid w:val="0048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098B9"/>
  <w15:docId w15:val="{5406415F-2E23-4D08-97A9-6F3D7F25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Berkhout</dc:creator>
  <cp:lastModifiedBy>Tom Berkhout</cp:lastModifiedBy>
  <cp:revision>2</cp:revision>
  <dcterms:created xsi:type="dcterms:W3CDTF">2020-12-22T21:28:00Z</dcterms:created>
  <dcterms:modified xsi:type="dcterms:W3CDTF">2020-12-22T21:28:00Z</dcterms:modified>
</cp:coreProperties>
</file>